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C3F1E1" w14:textId="77777777" w:rsidR="00067878" w:rsidRPr="00BF0FE3" w:rsidRDefault="00067878" w:rsidP="00C53A4D">
      <w:pPr>
        <w:jc w:val="left"/>
        <w:rPr>
          <w:rFonts w:ascii="Times New Roman" w:hAnsi="Times New Roman"/>
          <w:sz w:val="24"/>
          <w:szCs w:val="24"/>
        </w:rPr>
      </w:pPr>
      <w:r w:rsidRPr="00BF0FE3">
        <w:rPr>
          <w:rFonts w:ascii="Times New Roman" w:hAnsi="Times New Roman"/>
          <w:b/>
          <w:sz w:val="24"/>
          <w:szCs w:val="24"/>
        </w:rPr>
        <w:t xml:space="preserve">Course: </w:t>
      </w:r>
      <w:r w:rsidR="00BF0FE3" w:rsidRPr="00BF0FE3">
        <w:rPr>
          <w:rFonts w:ascii="Times New Roman" w:hAnsi="Times New Roman"/>
          <w:color w:val="1A1A1A"/>
          <w:sz w:val="24"/>
          <w:szCs w:val="24"/>
        </w:rPr>
        <w:t>Introduction to Financial Derivatives</w:t>
      </w:r>
    </w:p>
    <w:p w14:paraId="1A22FE96" w14:textId="77777777" w:rsidR="00067878" w:rsidRPr="00BF0FE3" w:rsidRDefault="00067878" w:rsidP="00C53A4D">
      <w:pPr>
        <w:jc w:val="left"/>
        <w:rPr>
          <w:rFonts w:ascii="Times New Roman" w:hAnsi="Times New Roman"/>
          <w:sz w:val="24"/>
          <w:szCs w:val="24"/>
        </w:rPr>
      </w:pPr>
      <w:r w:rsidRPr="00BF0FE3">
        <w:rPr>
          <w:rFonts w:ascii="Times New Roman" w:hAnsi="Times New Roman"/>
          <w:b/>
          <w:sz w:val="24"/>
          <w:szCs w:val="24"/>
        </w:rPr>
        <w:t xml:space="preserve">Instructor: </w:t>
      </w:r>
      <w:r w:rsidRPr="00BF0FE3">
        <w:rPr>
          <w:rFonts w:ascii="Times New Roman" w:hAnsi="Times New Roman"/>
          <w:sz w:val="24"/>
          <w:szCs w:val="24"/>
        </w:rPr>
        <w:t xml:space="preserve">Prof. </w:t>
      </w:r>
      <w:r w:rsidR="00BF0FE3" w:rsidRPr="00BF0FE3">
        <w:rPr>
          <w:rFonts w:ascii="Times New Roman" w:hAnsi="Times New Roman"/>
          <w:sz w:val="24"/>
          <w:szCs w:val="24"/>
        </w:rPr>
        <w:t>Robert Brooks</w:t>
      </w:r>
    </w:p>
    <w:p w14:paraId="4B8D7CA9" w14:textId="488B2130" w:rsidR="00067878" w:rsidRPr="00BF0FE3" w:rsidRDefault="00067878" w:rsidP="00C53A4D">
      <w:pPr>
        <w:jc w:val="left"/>
        <w:rPr>
          <w:rFonts w:ascii="Times New Roman" w:hAnsi="Times New Roman"/>
          <w:sz w:val="24"/>
          <w:szCs w:val="24"/>
        </w:rPr>
      </w:pPr>
      <w:r w:rsidRPr="00BF0FE3">
        <w:rPr>
          <w:rFonts w:ascii="Times New Roman" w:hAnsi="Times New Roman"/>
          <w:b/>
          <w:sz w:val="24"/>
          <w:szCs w:val="24"/>
        </w:rPr>
        <w:t>Assistant:</w:t>
      </w:r>
      <w:r w:rsidRPr="00BF0FE3">
        <w:rPr>
          <w:rFonts w:ascii="Times New Roman" w:hAnsi="Times New Roman"/>
          <w:sz w:val="24"/>
          <w:szCs w:val="24"/>
        </w:rPr>
        <w:t xml:space="preserve"> </w:t>
      </w:r>
      <w:r w:rsidR="00BF0FE3" w:rsidRPr="00BF0FE3">
        <w:rPr>
          <w:rFonts w:ascii="Times New Roman" w:hAnsi="Times New Roman"/>
          <w:sz w:val="24"/>
          <w:szCs w:val="24"/>
        </w:rPr>
        <w:t xml:space="preserve">Dr. Yu You </w:t>
      </w:r>
    </w:p>
    <w:p w14:paraId="0DF433C4" w14:textId="77777777" w:rsidR="00067878" w:rsidRPr="00BF0FE3" w:rsidRDefault="00067878" w:rsidP="00C53A4D">
      <w:pPr>
        <w:jc w:val="left"/>
        <w:rPr>
          <w:rFonts w:ascii="Times New Roman" w:hAnsi="Times New Roman"/>
          <w:b/>
          <w:sz w:val="24"/>
          <w:szCs w:val="24"/>
        </w:rPr>
      </w:pPr>
    </w:p>
    <w:p w14:paraId="6C72ADE8" w14:textId="77777777" w:rsidR="00067878" w:rsidRPr="00BF0FE3" w:rsidRDefault="00067878" w:rsidP="00C53A4D">
      <w:pPr>
        <w:jc w:val="left"/>
        <w:rPr>
          <w:rFonts w:ascii="Times New Roman" w:hAnsi="Times New Roman"/>
          <w:b/>
          <w:sz w:val="24"/>
          <w:szCs w:val="24"/>
        </w:rPr>
      </w:pPr>
      <w:r w:rsidRPr="00BF0FE3">
        <w:rPr>
          <w:rFonts w:ascii="Times New Roman" w:hAnsi="Times New Roman"/>
          <w:b/>
          <w:sz w:val="24"/>
          <w:szCs w:val="24"/>
        </w:rPr>
        <w:t xml:space="preserve">Course Description: </w:t>
      </w:r>
    </w:p>
    <w:p w14:paraId="068696F8" w14:textId="77777777" w:rsidR="00BF0FE3" w:rsidRPr="00BF0FE3" w:rsidRDefault="00BF0FE3" w:rsidP="00C53A4D">
      <w:pPr>
        <w:jc w:val="left"/>
        <w:rPr>
          <w:rFonts w:ascii="Times New Roman" w:hAnsi="Times New Roman"/>
          <w:sz w:val="24"/>
          <w:szCs w:val="24"/>
        </w:rPr>
      </w:pPr>
      <w:r w:rsidRPr="00BF0FE3">
        <w:rPr>
          <w:rFonts w:ascii="Times New Roman" w:hAnsi="Times New Roman"/>
          <w:color w:val="1A1A1A"/>
          <w:sz w:val="24"/>
          <w:szCs w:val="24"/>
        </w:rPr>
        <w:t>Focus on basic financial derivative instruments such as forward contracts, futures contracts, option contracts, and swaps. Introduce basic valuation and management concepts. This course will track a similar course taught at The University of Alabama (see attached syllabus). The book used will be either the 9</w:t>
      </w:r>
      <w:r w:rsidRPr="00BF0FE3">
        <w:rPr>
          <w:rFonts w:ascii="Times New Roman" w:hAnsi="Times New Roman"/>
          <w:color w:val="1A1A1A"/>
          <w:sz w:val="24"/>
          <w:szCs w:val="24"/>
          <w:vertAlign w:val="superscript"/>
        </w:rPr>
        <w:t>th</w:t>
      </w:r>
      <w:r w:rsidRPr="00BF0FE3">
        <w:rPr>
          <w:rFonts w:ascii="Times New Roman" w:hAnsi="Times New Roman"/>
          <w:color w:val="1A1A1A"/>
          <w:sz w:val="24"/>
          <w:szCs w:val="24"/>
        </w:rPr>
        <w:t xml:space="preserve"> or 10</w:t>
      </w:r>
      <w:r w:rsidRPr="00BF0FE3">
        <w:rPr>
          <w:rFonts w:ascii="Times New Roman" w:hAnsi="Times New Roman"/>
          <w:color w:val="1A1A1A"/>
          <w:sz w:val="24"/>
          <w:szCs w:val="24"/>
          <w:vertAlign w:val="superscript"/>
        </w:rPr>
        <w:t>th</w:t>
      </w:r>
      <w:r w:rsidRPr="00BF0FE3">
        <w:rPr>
          <w:rFonts w:ascii="Times New Roman" w:hAnsi="Times New Roman"/>
          <w:color w:val="1A1A1A"/>
          <w:sz w:val="24"/>
          <w:szCs w:val="24"/>
        </w:rPr>
        <w:t xml:space="preserve"> edition of </w:t>
      </w:r>
      <w:r w:rsidRPr="00BF0FE3">
        <w:rPr>
          <w:rFonts w:ascii="Times New Roman" w:hAnsi="Times New Roman"/>
          <w:i/>
          <w:color w:val="1A1A1A"/>
          <w:sz w:val="24"/>
          <w:szCs w:val="24"/>
        </w:rPr>
        <w:t>An Introduction to Derivatives and Risk Management</w:t>
      </w:r>
      <w:r w:rsidRPr="00BF0FE3">
        <w:rPr>
          <w:rFonts w:ascii="Times New Roman" w:hAnsi="Times New Roman"/>
          <w:color w:val="1A1A1A"/>
          <w:sz w:val="24"/>
          <w:szCs w:val="24"/>
        </w:rPr>
        <w:t xml:space="preserve"> co-authored with Don Chance. The 9</w:t>
      </w:r>
      <w:r w:rsidRPr="00BF0FE3">
        <w:rPr>
          <w:rFonts w:ascii="Times New Roman" w:hAnsi="Times New Roman"/>
          <w:color w:val="1A1A1A"/>
          <w:sz w:val="24"/>
          <w:szCs w:val="24"/>
          <w:vertAlign w:val="superscript"/>
        </w:rPr>
        <w:t>th</w:t>
      </w:r>
      <w:r w:rsidRPr="00BF0FE3">
        <w:rPr>
          <w:rFonts w:ascii="Times New Roman" w:hAnsi="Times New Roman"/>
          <w:color w:val="1A1A1A"/>
          <w:sz w:val="24"/>
          <w:szCs w:val="24"/>
        </w:rPr>
        <w:t xml:space="preserve"> edition is available in Mandarin (see attached picture of the book cover).</w:t>
      </w:r>
      <w:r w:rsidR="00067878" w:rsidRPr="00BF0FE3">
        <w:rPr>
          <w:rFonts w:ascii="Times New Roman" w:hAnsi="Times New Roman"/>
          <w:sz w:val="24"/>
          <w:szCs w:val="24"/>
        </w:rPr>
        <w:t xml:space="preserve"> </w:t>
      </w:r>
    </w:p>
    <w:p w14:paraId="745A5AF8" w14:textId="77777777" w:rsidR="00BF0FE3" w:rsidRDefault="00BF0FE3" w:rsidP="00C53A4D">
      <w:pPr>
        <w:jc w:val="left"/>
        <w:rPr>
          <w:rFonts w:ascii="Times New Roman" w:hAnsi="Times New Roman"/>
          <w:sz w:val="24"/>
          <w:szCs w:val="24"/>
        </w:rPr>
      </w:pPr>
    </w:p>
    <w:p w14:paraId="4960C2BF" w14:textId="77777777" w:rsidR="00067878" w:rsidRPr="00BF0FE3" w:rsidRDefault="00067878" w:rsidP="00C53A4D">
      <w:pPr>
        <w:jc w:val="left"/>
        <w:rPr>
          <w:rFonts w:ascii="Times New Roman" w:hAnsi="Times New Roman"/>
          <w:sz w:val="24"/>
          <w:szCs w:val="24"/>
        </w:rPr>
      </w:pPr>
      <w:r w:rsidRPr="00BF0FE3">
        <w:rPr>
          <w:rFonts w:ascii="Times New Roman" w:hAnsi="Times New Roman"/>
          <w:sz w:val="24"/>
          <w:szCs w:val="24"/>
        </w:rPr>
        <w:t>The aims of the course are:</w:t>
      </w:r>
    </w:p>
    <w:p w14:paraId="201BED89"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Become conversant in basic financial derivatives terminology</w:t>
      </w:r>
    </w:p>
    <w:p w14:paraId="6A745392"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Survey the institutional details of global financial derivatives</w:t>
      </w:r>
    </w:p>
    <w:p w14:paraId="0BB6E7BA"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Evaluate the basic characteristics of options, futures, and swaps</w:t>
      </w:r>
    </w:p>
    <w:p w14:paraId="02E47C54"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Value derivative instruments including options, forwards, futures, and swaps</w:t>
      </w:r>
    </w:p>
    <w:p w14:paraId="12824702"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Be able to derive and understand arbitrage relationships</w:t>
      </w:r>
    </w:p>
    <w:p w14:paraId="2AEADCD0"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Model financial price risk with geometric Brownian motion</w:t>
      </w:r>
    </w:p>
    <w:p w14:paraId="0F25F42D" w14:textId="77777777" w:rsidR="00BF0FE3" w:rsidRPr="00BF0FE3" w:rsidRDefault="00BF0FE3" w:rsidP="00C53A4D">
      <w:pPr>
        <w:pStyle w:val="a5"/>
        <w:widowControl/>
        <w:numPr>
          <w:ilvl w:val="0"/>
          <w:numId w:val="4"/>
        </w:numPr>
        <w:ind w:left="0" w:firstLine="0"/>
        <w:jc w:val="left"/>
        <w:rPr>
          <w:rFonts w:ascii="Times New Roman" w:hAnsi="Times New Roman"/>
          <w:sz w:val="24"/>
          <w:szCs w:val="24"/>
        </w:rPr>
      </w:pPr>
      <w:r w:rsidRPr="00BF0FE3">
        <w:rPr>
          <w:rFonts w:ascii="Times New Roman" w:hAnsi="Times New Roman"/>
          <w:sz w:val="24"/>
          <w:szCs w:val="24"/>
        </w:rPr>
        <w:t>Be able to address a wide variety of financial risk management problems</w:t>
      </w:r>
    </w:p>
    <w:p w14:paraId="3E15294E" w14:textId="77777777" w:rsidR="00BF0FE3" w:rsidRPr="00BF0FE3" w:rsidRDefault="00BF0FE3" w:rsidP="00C53A4D">
      <w:pPr>
        <w:jc w:val="left"/>
        <w:rPr>
          <w:rFonts w:ascii="Times New Roman" w:hAnsi="Times New Roman"/>
          <w:sz w:val="24"/>
          <w:szCs w:val="24"/>
        </w:rPr>
      </w:pPr>
    </w:p>
    <w:p w14:paraId="4CDE6FB3" w14:textId="77777777" w:rsidR="00BF0FE3" w:rsidRDefault="00BF0FE3" w:rsidP="00C53A4D">
      <w:pPr>
        <w:jc w:val="left"/>
        <w:rPr>
          <w:rFonts w:ascii="Times New Roman" w:hAnsi="Times New Roman"/>
          <w:sz w:val="24"/>
          <w:szCs w:val="24"/>
        </w:rPr>
      </w:pPr>
      <w:r w:rsidRPr="00BF0FE3">
        <w:rPr>
          <w:rFonts w:ascii="Times New Roman" w:hAnsi="Times New Roman"/>
          <w:sz w:val="24"/>
          <w:szCs w:val="24"/>
        </w:rPr>
        <w:t>This course typically has students from a wide range of backgrounds and competencies. Financial engineering is still a young profession and continues changing rapidly. It is my intent to provide a solid foundation as well as provide state-of-the-art material.</w:t>
      </w:r>
    </w:p>
    <w:p w14:paraId="0C70021E" w14:textId="77777777" w:rsidR="00BF0FE3" w:rsidRPr="00BF0FE3" w:rsidRDefault="00BF0FE3" w:rsidP="00C53A4D">
      <w:pPr>
        <w:jc w:val="left"/>
        <w:rPr>
          <w:rFonts w:ascii="Times New Roman" w:hAnsi="Times New Roman"/>
          <w:sz w:val="24"/>
          <w:szCs w:val="24"/>
        </w:rPr>
      </w:pPr>
    </w:p>
    <w:p w14:paraId="400DF571" w14:textId="77777777" w:rsidR="00BF0FE3" w:rsidRDefault="00BF0FE3" w:rsidP="00C53A4D">
      <w:pPr>
        <w:jc w:val="left"/>
        <w:rPr>
          <w:rFonts w:ascii="Times New Roman" w:hAnsi="Times New Roman"/>
          <w:sz w:val="24"/>
          <w:szCs w:val="24"/>
        </w:rPr>
      </w:pPr>
      <w:r w:rsidRPr="00BF0FE3">
        <w:rPr>
          <w:rFonts w:ascii="Times New Roman" w:hAnsi="Times New Roman"/>
          <w:sz w:val="24"/>
          <w:szCs w:val="24"/>
        </w:rPr>
        <w:t xml:space="preserve">  In the past, available financial derivative instruments dictated the viable solution strategies for financial risk managers. This approach is no longer true. Today, viable solution strategies desired by risk managers are dictating the available financial derivative instruments. The competent financial risk managers of the future must be able to understand the wide range of potential derivative instruments available when designing effective and efficient solutions.</w:t>
      </w:r>
    </w:p>
    <w:p w14:paraId="728DC0E5" w14:textId="77777777" w:rsidR="00BF0FE3" w:rsidRPr="00BF0FE3" w:rsidRDefault="00BF0FE3" w:rsidP="00C53A4D">
      <w:pPr>
        <w:jc w:val="left"/>
        <w:rPr>
          <w:rFonts w:ascii="Times New Roman" w:hAnsi="Times New Roman"/>
          <w:sz w:val="24"/>
          <w:szCs w:val="24"/>
        </w:rPr>
      </w:pPr>
    </w:p>
    <w:p w14:paraId="432E1105" w14:textId="77777777" w:rsidR="00BF0FE3" w:rsidRPr="00BF0FE3" w:rsidRDefault="00BF0FE3" w:rsidP="00C53A4D">
      <w:pPr>
        <w:jc w:val="left"/>
        <w:rPr>
          <w:rFonts w:ascii="Times New Roman" w:hAnsi="Times New Roman"/>
          <w:sz w:val="24"/>
          <w:szCs w:val="24"/>
        </w:rPr>
      </w:pPr>
      <w:r w:rsidRPr="00BF0FE3">
        <w:rPr>
          <w:rFonts w:ascii="Times New Roman" w:hAnsi="Times New Roman"/>
          <w:sz w:val="24"/>
          <w:szCs w:val="24"/>
        </w:rPr>
        <w:t xml:space="preserve">  This is very much your class. I have been working with financial derivative instruments for many years. From experience I know that you will gain a tremendous amount from this class if you apply yourself. There are former students who are working at major firms such as Goldman Sachs, Bank of America, and Morgan Stanley as well as regional firms such as </w:t>
      </w:r>
      <w:proofErr w:type="spellStart"/>
      <w:r w:rsidRPr="00BF0FE3">
        <w:rPr>
          <w:rFonts w:ascii="Times New Roman" w:hAnsi="Times New Roman"/>
          <w:sz w:val="24"/>
          <w:szCs w:val="24"/>
        </w:rPr>
        <w:t>Stifel</w:t>
      </w:r>
      <w:proofErr w:type="spellEnd"/>
      <w:r w:rsidRPr="00BF0FE3">
        <w:rPr>
          <w:rFonts w:ascii="Times New Roman" w:hAnsi="Times New Roman"/>
          <w:sz w:val="24"/>
          <w:szCs w:val="24"/>
        </w:rPr>
        <w:t xml:space="preserve">, Regions Bank and BBVA Compass Bank. By its very nature, financial derivatives </w:t>
      </w:r>
      <w:proofErr w:type="gramStart"/>
      <w:r w:rsidRPr="00BF0FE3">
        <w:rPr>
          <w:rFonts w:ascii="Times New Roman" w:hAnsi="Times New Roman"/>
          <w:sz w:val="24"/>
          <w:szCs w:val="24"/>
        </w:rPr>
        <w:t>is</w:t>
      </w:r>
      <w:proofErr w:type="gramEnd"/>
      <w:r w:rsidRPr="00BF0FE3">
        <w:rPr>
          <w:rFonts w:ascii="Times New Roman" w:hAnsi="Times New Roman"/>
          <w:sz w:val="24"/>
          <w:szCs w:val="24"/>
        </w:rPr>
        <w:t xml:space="preserve"> quantitative. I encourage you to ask questions in class and office hours. Also, please carefully read the book as it will provide a solid foundation on which to master this subject.</w:t>
      </w:r>
    </w:p>
    <w:p w14:paraId="594FC229" w14:textId="77777777" w:rsidR="00BF0FE3" w:rsidRDefault="00BF0FE3" w:rsidP="00BF0FE3">
      <w:pPr>
        <w:widowControl/>
        <w:jc w:val="left"/>
        <w:rPr>
          <w:rFonts w:ascii="Times New Roman" w:hAnsi="Times New Roman"/>
          <w:b/>
          <w:sz w:val="24"/>
          <w:szCs w:val="24"/>
        </w:rPr>
      </w:pPr>
      <w:r>
        <w:rPr>
          <w:rFonts w:ascii="Times New Roman" w:hAnsi="Times New Roman"/>
          <w:b/>
          <w:sz w:val="24"/>
          <w:szCs w:val="24"/>
        </w:rPr>
        <w:br w:type="page"/>
      </w:r>
    </w:p>
    <w:p w14:paraId="63D87476" w14:textId="77777777" w:rsidR="00067878" w:rsidRPr="00BF0FE3" w:rsidRDefault="00067878" w:rsidP="00BF0FE3">
      <w:pPr>
        <w:jc w:val="left"/>
        <w:rPr>
          <w:rFonts w:ascii="Times New Roman" w:hAnsi="Times New Roman"/>
          <w:b/>
          <w:sz w:val="24"/>
          <w:szCs w:val="24"/>
        </w:rPr>
      </w:pPr>
    </w:p>
    <w:p w14:paraId="01F8BD58" w14:textId="77777777" w:rsidR="00BF0FE3" w:rsidRPr="00BF0FE3" w:rsidRDefault="00BF0FE3" w:rsidP="00BF0FE3">
      <w:pPr>
        <w:jc w:val="left"/>
        <w:rPr>
          <w:rFonts w:ascii="Times New Roman" w:hAnsi="Times New Roman"/>
          <w:b/>
          <w:sz w:val="24"/>
          <w:szCs w:val="24"/>
        </w:rPr>
      </w:pPr>
      <w:r w:rsidRPr="00BF0FE3">
        <w:rPr>
          <w:rFonts w:ascii="Times New Roman" w:hAnsi="Times New Roman"/>
          <w:b/>
          <w:noProof/>
          <w:sz w:val="24"/>
          <w:szCs w:val="24"/>
        </w:rPr>
        <w:drawing>
          <wp:anchor distT="0" distB="0" distL="114300" distR="114300" simplePos="0" relativeHeight="251658240" behindDoc="0" locked="0" layoutInCell="1" allowOverlap="1" wp14:anchorId="5852A727" wp14:editId="75E35DC1">
            <wp:simplePos x="0" y="0"/>
            <wp:positionH relativeFrom="column">
              <wp:posOffset>0</wp:posOffset>
            </wp:positionH>
            <wp:positionV relativeFrom="paragraph">
              <wp:posOffset>46355</wp:posOffset>
            </wp:positionV>
            <wp:extent cx="1300480" cy="1445260"/>
            <wp:effectExtent l="0" t="0" r="0" b="2540"/>
            <wp:wrapTight wrapText="bothSides">
              <wp:wrapPolygon edited="0">
                <wp:start x="0" y="0"/>
                <wp:lineTo x="0" y="21258"/>
                <wp:lineTo x="21094" y="21258"/>
                <wp:lineTo x="2109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300480" cy="144526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067878" w:rsidRPr="00BF0FE3">
        <w:rPr>
          <w:rFonts w:ascii="Times New Roman" w:hAnsi="Times New Roman"/>
          <w:b/>
          <w:sz w:val="24"/>
          <w:szCs w:val="24"/>
        </w:rPr>
        <w:t>Bio for Instructor:</w:t>
      </w:r>
      <w:r w:rsidRPr="00BF0FE3">
        <w:rPr>
          <w:rFonts w:ascii="Times New Roman" w:hAnsi="Times New Roman"/>
          <w:sz w:val="24"/>
          <w:szCs w:val="24"/>
        </w:rPr>
        <w:t xml:space="preserve"> </w:t>
      </w:r>
    </w:p>
    <w:p w14:paraId="3E8490B7" w14:textId="77777777" w:rsidR="00067878" w:rsidRPr="00BF0FE3" w:rsidRDefault="00BF0FE3" w:rsidP="00BF0FE3">
      <w:pPr>
        <w:jc w:val="left"/>
        <w:rPr>
          <w:rFonts w:ascii="Times New Roman" w:hAnsi="Times New Roman"/>
          <w:b/>
          <w:sz w:val="24"/>
          <w:szCs w:val="24"/>
        </w:rPr>
      </w:pPr>
      <w:r w:rsidRPr="00BF0FE3">
        <w:rPr>
          <w:rFonts w:ascii="Times New Roman" w:hAnsi="Times New Roman"/>
          <w:sz w:val="24"/>
          <w:szCs w:val="24"/>
        </w:rPr>
        <w:t>Robert Brooks is the Wallace D. Malone, Jr. Endowed Chair of Financial Management at The University of Alabama (</w:t>
      </w:r>
      <w:hyperlink r:id="rId6" w:history="1">
        <w:r w:rsidRPr="00BF0FE3">
          <w:rPr>
            <w:rStyle w:val="a6"/>
            <w:rFonts w:ascii="Times New Roman" w:hAnsi="Times New Roman"/>
            <w:sz w:val="24"/>
            <w:szCs w:val="24"/>
          </w:rPr>
          <w:t>https://culverhouse.ua.edu/directory/profile/rbrooks</w:t>
        </w:r>
      </w:hyperlink>
      <w:r w:rsidRPr="00BF0FE3">
        <w:rPr>
          <w:rFonts w:ascii="Times New Roman" w:hAnsi="Times New Roman"/>
          <w:sz w:val="24"/>
          <w:szCs w:val="24"/>
        </w:rPr>
        <w:t xml:space="preserve">), founding partner of BlueCreek Investment Partners, LLC, a money management firm (merged with Keel Point, LLC in 2014, </w:t>
      </w:r>
      <w:hyperlink r:id="rId7" w:history="1">
        <w:r w:rsidRPr="00BF0FE3">
          <w:rPr>
            <w:rStyle w:val="a6"/>
            <w:rFonts w:ascii="Times New Roman" w:hAnsi="Times New Roman"/>
            <w:sz w:val="24"/>
            <w:szCs w:val="24"/>
          </w:rPr>
          <w:t>www.keelpoint.com</w:t>
        </w:r>
      </w:hyperlink>
      <w:r w:rsidRPr="00BF0FE3">
        <w:rPr>
          <w:rFonts w:ascii="Times New Roman" w:hAnsi="Times New Roman"/>
          <w:sz w:val="24"/>
          <w:szCs w:val="24"/>
        </w:rPr>
        <w:t>), and president of Financial Risk Management, LLC, a financial risk management consulting firm (</w:t>
      </w:r>
      <w:hyperlink r:id="rId8" w:history="1">
        <w:r w:rsidRPr="00BF0FE3">
          <w:rPr>
            <w:rStyle w:val="a6"/>
            <w:rFonts w:ascii="Times New Roman" w:hAnsi="Times New Roman"/>
            <w:sz w:val="24"/>
            <w:szCs w:val="24"/>
          </w:rPr>
          <w:t>www.frmhelp.com</w:t>
        </w:r>
      </w:hyperlink>
      <w:r w:rsidRPr="00BF0FE3">
        <w:rPr>
          <w:rFonts w:ascii="Times New Roman" w:hAnsi="Times New Roman"/>
          <w:sz w:val="24"/>
          <w:szCs w:val="24"/>
        </w:rPr>
        <w:t xml:space="preserve">) focused on market risks. Brooks is the author of over 75 articles appearing in the </w:t>
      </w:r>
      <w:r w:rsidRPr="00BF0FE3">
        <w:rPr>
          <w:rFonts w:ascii="Times New Roman" w:hAnsi="Times New Roman"/>
          <w:i/>
          <w:sz w:val="24"/>
          <w:szCs w:val="24"/>
        </w:rPr>
        <w:t>Journal of Financial and Quantitative Analysis</w:t>
      </w:r>
      <w:r w:rsidRPr="00BF0FE3">
        <w:rPr>
          <w:rFonts w:ascii="Times New Roman" w:hAnsi="Times New Roman"/>
          <w:sz w:val="24"/>
          <w:szCs w:val="24"/>
        </w:rPr>
        <w:t xml:space="preserve">, </w:t>
      </w:r>
      <w:r w:rsidRPr="00BF0FE3">
        <w:rPr>
          <w:rFonts w:ascii="Times New Roman" w:hAnsi="Times New Roman"/>
          <w:i/>
          <w:sz w:val="24"/>
          <w:szCs w:val="24"/>
        </w:rPr>
        <w:t>Journal of Derivatives</w:t>
      </w:r>
      <w:r w:rsidRPr="00BF0FE3">
        <w:rPr>
          <w:rFonts w:ascii="Times New Roman" w:hAnsi="Times New Roman"/>
          <w:sz w:val="24"/>
          <w:szCs w:val="24"/>
        </w:rPr>
        <w:t xml:space="preserve">, </w:t>
      </w:r>
      <w:r w:rsidRPr="00BF0FE3">
        <w:rPr>
          <w:rFonts w:ascii="Times New Roman" w:hAnsi="Times New Roman"/>
          <w:i/>
          <w:sz w:val="24"/>
          <w:szCs w:val="24"/>
        </w:rPr>
        <w:t>Journal of Banking and Finance</w:t>
      </w:r>
      <w:r w:rsidRPr="00BF0FE3">
        <w:rPr>
          <w:rFonts w:ascii="Times New Roman" w:hAnsi="Times New Roman"/>
          <w:sz w:val="24"/>
          <w:szCs w:val="24"/>
        </w:rPr>
        <w:t xml:space="preserve">, </w:t>
      </w:r>
      <w:r w:rsidRPr="00BF0FE3">
        <w:rPr>
          <w:rFonts w:ascii="Times New Roman" w:hAnsi="Times New Roman"/>
          <w:i/>
          <w:sz w:val="24"/>
          <w:szCs w:val="24"/>
        </w:rPr>
        <w:t>Financial Management</w:t>
      </w:r>
      <w:r w:rsidRPr="00BF0FE3">
        <w:rPr>
          <w:rFonts w:ascii="Times New Roman" w:hAnsi="Times New Roman"/>
          <w:sz w:val="24"/>
          <w:szCs w:val="24"/>
        </w:rPr>
        <w:t xml:space="preserve">, and others. Further, he is the co-author of </w:t>
      </w:r>
      <w:r w:rsidRPr="00BF0FE3">
        <w:rPr>
          <w:rFonts w:ascii="Times New Roman" w:hAnsi="Times New Roman"/>
          <w:i/>
          <w:iCs/>
          <w:sz w:val="24"/>
          <w:szCs w:val="24"/>
        </w:rPr>
        <w:t>An Introduction to Derivatives and Risk Management</w:t>
      </w:r>
      <w:r w:rsidRPr="00BF0FE3">
        <w:rPr>
          <w:rFonts w:ascii="Times New Roman" w:hAnsi="Times New Roman"/>
          <w:sz w:val="24"/>
          <w:szCs w:val="24"/>
        </w:rPr>
        <w:t xml:space="preserve"> (Seventh through Tenth Editions) with Don Chance and has authored several books in</w:t>
      </w:r>
      <w:bookmarkStart w:id="0" w:name="_GoBack"/>
      <w:bookmarkEnd w:id="0"/>
      <w:r w:rsidRPr="00BF0FE3">
        <w:rPr>
          <w:rFonts w:ascii="Times New Roman" w:hAnsi="Times New Roman"/>
          <w:sz w:val="24"/>
          <w:szCs w:val="24"/>
        </w:rPr>
        <w:t xml:space="preserve">cluding </w:t>
      </w:r>
      <w:r w:rsidRPr="00BF0FE3">
        <w:rPr>
          <w:rFonts w:ascii="Times New Roman" w:hAnsi="Times New Roman"/>
          <w:i/>
          <w:iCs/>
          <w:sz w:val="24"/>
          <w:szCs w:val="24"/>
        </w:rPr>
        <w:t>Building Financial Risk Management Applications with C++</w:t>
      </w:r>
      <w:r w:rsidRPr="00BF0FE3">
        <w:rPr>
          <w:rFonts w:ascii="Times New Roman" w:hAnsi="Times New Roman"/>
          <w:sz w:val="24"/>
          <w:szCs w:val="24"/>
        </w:rPr>
        <w:t xml:space="preserve">. Brooks has been quoted in several print media, including </w:t>
      </w:r>
      <w:r w:rsidRPr="00BF0FE3">
        <w:rPr>
          <w:rFonts w:ascii="Times New Roman" w:hAnsi="Times New Roman"/>
          <w:i/>
          <w:sz w:val="24"/>
          <w:szCs w:val="24"/>
        </w:rPr>
        <w:t>The Wall Street Journal, Bloomberg News</w:t>
      </w:r>
      <w:r w:rsidRPr="00BF0FE3">
        <w:rPr>
          <w:rFonts w:ascii="Times New Roman" w:hAnsi="Times New Roman"/>
          <w:sz w:val="24"/>
          <w:szCs w:val="24"/>
        </w:rPr>
        <w:t xml:space="preserve">, </w:t>
      </w:r>
      <w:r w:rsidRPr="00BF0FE3">
        <w:rPr>
          <w:rFonts w:ascii="Times New Roman" w:hAnsi="Times New Roman"/>
          <w:i/>
          <w:sz w:val="24"/>
          <w:szCs w:val="24"/>
        </w:rPr>
        <w:t>New York Times</w:t>
      </w:r>
      <w:r w:rsidRPr="00BF0FE3">
        <w:rPr>
          <w:rFonts w:ascii="Times New Roman" w:hAnsi="Times New Roman"/>
          <w:sz w:val="24"/>
          <w:szCs w:val="24"/>
        </w:rPr>
        <w:t xml:space="preserve">, and </w:t>
      </w:r>
      <w:r w:rsidRPr="00BF0FE3">
        <w:rPr>
          <w:rFonts w:ascii="Times New Roman" w:hAnsi="Times New Roman"/>
          <w:i/>
          <w:sz w:val="24"/>
          <w:szCs w:val="24"/>
        </w:rPr>
        <w:t>The Bond Buyer</w:t>
      </w:r>
      <w:r w:rsidRPr="00BF0FE3">
        <w:rPr>
          <w:rFonts w:ascii="Times New Roman" w:hAnsi="Times New Roman"/>
          <w:sz w:val="24"/>
          <w:szCs w:val="24"/>
        </w:rPr>
        <w:t>. Brooks has also testified in a subcommittee hearing of the U. S. House of Representatives in Washington, D.C. as well as in a field hearing of the SEC in Birmingham, Alabama. Brooks has consulted with major public utilities, energy companies, auditing firms, corporations, investment bankers, elected municipal officials, and commercial bankers regarding managing financial risks, derivatives valuation and software development. Brooks has testified in several court cases as well as conducts professional development seminars on various aspects of finance.</w:t>
      </w:r>
    </w:p>
    <w:p w14:paraId="7EB09BB7" w14:textId="77777777" w:rsidR="007C605B" w:rsidRPr="00BF0FE3" w:rsidRDefault="007C605B" w:rsidP="00BF0FE3">
      <w:pPr>
        <w:jc w:val="left"/>
        <w:rPr>
          <w:rFonts w:ascii="Times New Roman" w:hAnsi="Times New Roman"/>
          <w:sz w:val="24"/>
          <w:szCs w:val="24"/>
        </w:rPr>
      </w:pPr>
    </w:p>
    <w:sectPr w:rsidR="007C605B" w:rsidRPr="00BF0FE3" w:rsidSect="00BF0FE3">
      <w:pgSz w:w="11906" w:h="16838"/>
      <w:pgMar w:top="1152" w:right="1152" w:bottom="1152" w:left="1152" w:header="864" w:footer="864"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E350A"/>
    <w:multiLevelType w:val="hybridMultilevel"/>
    <w:tmpl w:val="F8D24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45B74F45"/>
    <w:multiLevelType w:val="hybridMultilevel"/>
    <w:tmpl w:val="4ECA0A92"/>
    <w:lvl w:ilvl="0" w:tplc="0409000F">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63922189"/>
    <w:multiLevelType w:val="hybridMultilevel"/>
    <w:tmpl w:val="4BFC751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ECA6E66"/>
    <w:multiLevelType w:val="hybridMultilevel"/>
    <w:tmpl w:val="15E2D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7878"/>
    <w:rsid w:val="00067878"/>
    <w:rsid w:val="002C5FBB"/>
    <w:rsid w:val="004E1B23"/>
    <w:rsid w:val="005634D5"/>
    <w:rsid w:val="006F6B44"/>
    <w:rsid w:val="00770142"/>
    <w:rsid w:val="007C605B"/>
    <w:rsid w:val="00B149AF"/>
    <w:rsid w:val="00BF0FE3"/>
    <w:rsid w:val="00C53A4D"/>
    <w:rsid w:val="00E00A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413059"/>
  <w15:docId w15:val="{617661B5-C1EE-4DF0-869B-9B52BFA20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7878"/>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67878"/>
    <w:rPr>
      <w:sz w:val="18"/>
      <w:szCs w:val="18"/>
    </w:rPr>
  </w:style>
  <w:style w:type="character" w:customStyle="1" w:styleId="a4">
    <w:name w:val="批注框文本 字符"/>
    <w:basedOn w:val="a0"/>
    <w:link w:val="a3"/>
    <w:uiPriority w:val="99"/>
    <w:semiHidden/>
    <w:rsid w:val="00067878"/>
    <w:rPr>
      <w:rFonts w:ascii="Calibri" w:eastAsia="宋体" w:hAnsi="Calibri" w:cs="Times New Roman"/>
      <w:sz w:val="18"/>
      <w:szCs w:val="18"/>
    </w:rPr>
  </w:style>
  <w:style w:type="paragraph" w:styleId="a5">
    <w:name w:val="List Paragraph"/>
    <w:basedOn w:val="a"/>
    <w:uiPriority w:val="34"/>
    <w:qFormat/>
    <w:rsid w:val="00BF0FE3"/>
    <w:pPr>
      <w:ind w:left="720"/>
      <w:contextualSpacing/>
    </w:pPr>
  </w:style>
  <w:style w:type="character" w:styleId="a6">
    <w:name w:val="Hyperlink"/>
    <w:basedOn w:val="a0"/>
    <w:rsid w:val="00BF0FE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rmhelp.com" TargetMode="External"/><Relationship Id="rId3" Type="http://schemas.openxmlformats.org/officeDocument/2006/relationships/settings" Target="settings.xml"/><Relationship Id="rId7" Type="http://schemas.openxmlformats.org/officeDocument/2006/relationships/hyperlink" Target="http://www.keelpoint.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culverhouse.ua.edu/directory/profile/rbrooks"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626</Words>
  <Characters>3574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Manager/>
  <Company>Financial Risk Management, LLC</Company>
  <LinksUpToDate>false</LinksUpToDate>
  <CharactersWithSpaces>4192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Brooks</dc:creator>
  <cp:keywords/>
  <dc:description/>
  <cp:lastModifiedBy>Yu</cp:lastModifiedBy>
  <cp:revision>5</cp:revision>
  <dcterms:created xsi:type="dcterms:W3CDTF">2017-03-28T18:31:00Z</dcterms:created>
  <dcterms:modified xsi:type="dcterms:W3CDTF">2017-03-29T01:22:00Z</dcterms:modified>
  <cp:category/>
</cp:coreProperties>
</file>